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A578F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“弱口令”风险系统整改整治清单</w:t>
      </w:r>
    </w:p>
    <w:bookmarkEnd w:id="0"/>
    <w:p w14:paraId="61F1B62F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 w14:paraId="6A18D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填表单位                                     填表时间</w:t>
      </w:r>
    </w:p>
    <w:p w14:paraId="229EF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3"/>
        <w:tblW w:w="54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105"/>
        <w:gridCol w:w="1033"/>
        <w:gridCol w:w="1000"/>
        <w:gridCol w:w="883"/>
        <w:gridCol w:w="900"/>
        <w:gridCol w:w="1767"/>
        <w:gridCol w:w="933"/>
        <w:gridCol w:w="867"/>
        <w:gridCol w:w="1783"/>
        <w:gridCol w:w="650"/>
        <w:gridCol w:w="667"/>
        <w:gridCol w:w="1972"/>
        <w:gridCol w:w="720"/>
      </w:tblGrid>
      <w:tr w14:paraId="6468B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298" w:type="pct"/>
            <w:vAlign w:val="center"/>
          </w:tcPr>
          <w:p w14:paraId="0DE99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363" w:type="pct"/>
            <w:vAlign w:val="center"/>
          </w:tcPr>
          <w:p w14:paraId="4C244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系统归属单位</w:t>
            </w:r>
          </w:p>
        </w:tc>
        <w:tc>
          <w:tcPr>
            <w:tcW w:w="340" w:type="pct"/>
            <w:vAlign w:val="center"/>
          </w:tcPr>
          <w:p w14:paraId="2FE3D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329" w:type="pct"/>
            <w:vAlign w:val="center"/>
          </w:tcPr>
          <w:p w14:paraId="5A76C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系统名称</w:t>
            </w:r>
          </w:p>
        </w:tc>
        <w:tc>
          <w:tcPr>
            <w:tcW w:w="290" w:type="pct"/>
            <w:vAlign w:val="center"/>
          </w:tcPr>
          <w:p w14:paraId="7120C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IP地址</w:t>
            </w:r>
          </w:p>
        </w:tc>
        <w:tc>
          <w:tcPr>
            <w:tcW w:w="296" w:type="pct"/>
            <w:vAlign w:val="center"/>
          </w:tcPr>
          <w:p w14:paraId="4B4D6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域名</w:t>
            </w:r>
          </w:p>
        </w:tc>
        <w:tc>
          <w:tcPr>
            <w:tcW w:w="581" w:type="pct"/>
            <w:vAlign w:val="center"/>
          </w:tcPr>
          <w:p w14:paraId="7E0D9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系统类别</w:t>
            </w:r>
          </w:p>
        </w:tc>
        <w:tc>
          <w:tcPr>
            <w:tcW w:w="307" w:type="pct"/>
            <w:vAlign w:val="center"/>
          </w:tcPr>
          <w:p w14:paraId="1F6BF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系统功能简述</w:t>
            </w:r>
          </w:p>
        </w:tc>
        <w:tc>
          <w:tcPr>
            <w:tcW w:w="285" w:type="pct"/>
            <w:vAlign w:val="center"/>
          </w:tcPr>
          <w:p w14:paraId="05CEA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是否互联网系统</w:t>
            </w:r>
          </w:p>
        </w:tc>
        <w:tc>
          <w:tcPr>
            <w:tcW w:w="587" w:type="pct"/>
            <w:vAlign w:val="center"/>
          </w:tcPr>
          <w:p w14:paraId="4B431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问题分类</w:t>
            </w:r>
          </w:p>
        </w:tc>
        <w:tc>
          <w:tcPr>
            <w:tcW w:w="213" w:type="pct"/>
            <w:vAlign w:val="center"/>
          </w:tcPr>
          <w:p w14:paraId="728BE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整改措施</w:t>
            </w:r>
          </w:p>
        </w:tc>
        <w:tc>
          <w:tcPr>
            <w:tcW w:w="219" w:type="pct"/>
            <w:vAlign w:val="center"/>
          </w:tcPr>
          <w:p w14:paraId="3E756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整改技术措施</w:t>
            </w:r>
          </w:p>
        </w:tc>
        <w:tc>
          <w:tcPr>
            <w:tcW w:w="649" w:type="pct"/>
            <w:vAlign w:val="center"/>
          </w:tcPr>
          <w:p w14:paraId="600D4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是否有整改计划</w:t>
            </w:r>
          </w:p>
        </w:tc>
        <w:tc>
          <w:tcPr>
            <w:tcW w:w="237" w:type="pct"/>
            <w:vAlign w:val="center"/>
          </w:tcPr>
          <w:p w14:paraId="44ED1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vertAlign w:val="baseline"/>
                <w:lang w:val="en-US" w:eastAsia="zh-CN"/>
              </w:rPr>
              <w:t>无法整改原因</w:t>
            </w:r>
          </w:p>
        </w:tc>
      </w:tr>
      <w:tr w14:paraId="4651F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" w:type="pct"/>
            <w:vAlign w:val="center"/>
          </w:tcPr>
          <w:p w14:paraId="0CDC1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3" w:type="pct"/>
            <w:vAlign w:val="center"/>
          </w:tcPr>
          <w:p w14:paraId="471E2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0" w:type="pct"/>
            <w:vAlign w:val="center"/>
          </w:tcPr>
          <w:p w14:paraId="4E2E2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9" w:type="pct"/>
            <w:vAlign w:val="center"/>
          </w:tcPr>
          <w:p w14:paraId="2ECF6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0" w:type="pct"/>
            <w:vAlign w:val="center"/>
          </w:tcPr>
          <w:p w14:paraId="213E6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96" w:type="pct"/>
            <w:vAlign w:val="center"/>
          </w:tcPr>
          <w:p w14:paraId="71854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vAlign w:val="center"/>
          </w:tcPr>
          <w:p w14:paraId="2FF8E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服务器、办公终端等主机类</w:t>
            </w:r>
          </w:p>
          <w:p w14:paraId="7602E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开源大数据软件类</w:t>
            </w:r>
          </w:p>
          <w:p w14:paraId="2D2E0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中间件类</w:t>
            </w:r>
          </w:p>
          <w:p w14:paraId="4BD3C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办公系统类</w:t>
            </w:r>
          </w:p>
          <w:p w14:paraId="6684E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业务生产系统类</w:t>
            </w:r>
          </w:p>
          <w:p w14:paraId="0B669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网络设备、安全设备、物联网设备等硬件类</w:t>
            </w:r>
          </w:p>
          <w:p w14:paraId="58ECB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其他</w:t>
            </w:r>
          </w:p>
        </w:tc>
        <w:tc>
          <w:tcPr>
            <w:tcW w:w="307" w:type="pct"/>
            <w:vAlign w:val="center"/>
          </w:tcPr>
          <w:p w14:paraId="67C46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5" w:type="pct"/>
            <w:vAlign w:val="center"/>
          </w:tcPr>
          <w:p w14:paraId="4BA3A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7" w:type="pct"/>
            <w:vAlign w:val="center"/>
          </w:tcPr>
          <w:p w14:paraId="1EA05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采用单一认证方式</w:t>
            </w:r>
          </w:p>
          <w:p w14:paraId="357E4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为限制口令复杂度和更新机制</w:t>
            </w:r>
          </w:p>
          <w:p w14:paraId="53756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未校验“弱口令”</w:t>
            </w:r>
          </w:p>
          <w:p w14:paraId="47D27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未落实口令防“暴破”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未采取加密存储传输</w:t>
            </w:r>
          </w:p>
          <w:p w14:paraId="2C4C7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口令措施</w:t>
            </w:r>
          </w:p>
          <w:p w14:paraId="2099A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为限制跨境登陆</w:t>
            </w:r>
          </w:p>
        </w:tc>
        <w:tc>
          <w:tcPr>
            <w:tcW w:w="213" w:type="pct"/>
            <w:vAlign w:val="center"/>
          </w:tcPr>
          <w:p w14:paraId="1E345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9" w:type="pct"/>
            <w:vAlign w:val="center"/>
          </w:tcPr>
          <w:p w14:paraId="73902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" w:type="pct"/>
            <w:vAlign w:val="center"/>
          </w:tcPr>
          <w:p w14:paraId="0C53A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采取多因子认证措施</w:t>
            </w:r>
          </w:p>
          <w:p w14:paraId="0F1CC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限制口令复杂度并设置更新策略</w:t>
            </w:r>
          </w:p>
          <w:p w14:paraId="1BE6B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增加系统“弱口令”校验措施</w:t>
            </w:r>
          </w:p>
          <w:p w14:paraId="1B755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增加口令防“暴破”措施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增加口令加密存储传输措施</w:t>
            </w:r>
          </w:p>
          <w:p w14:paraId="55A65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采取访问控制策略</w:t>
            </w:r>
          </w:p>
          <w:p w14:paraId="559E6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隔离境内外登录账号数据</w:t>
            </w:r>
          </w:p>
          <w:p w14:paraId="65B74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采取限制境外IP登录策略</w:t>
            </w:r>
          </w:p>
          <w:p w14:paraId="7D25F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其他</w:t>
            </w:r>
          </w:p>
        </w:tc>
        <w:tc>
          <w:tcPr>
            <w:tcW w:w="237" w:type="pct"/>
            <w:vAlign w:val="center"/>
          </w:tcPr>
          <w:p w14:paraId="1960F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387B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" w:type="pct"/>
            <w:vAlign w:val="center"/>
          </w:tcPr>
          <w:p w14:paraId="3AF13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样例</w:t>
            </w:r>
          </w:p>
        </w:tc>
        <w:tc>
          <w:tcPr>
            <w:tcW w:w="363" w:type="pct"/>
            <w:vAlign w:val="center"/>
          </w:tcPr>
          <w:p w14:paraId="717F8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Xx集团</w:t>
            </w:r>
          </w:p>
        </w:tc>
        <w:tc>
          <w:tcPr>
            <w:tcW w:w="340" w:type="pct"/>
            <w:vAlign w:val="center"/>
          </w:tcPr>
          <w:p w14:paraId="67890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91450606*****12333</w:t>
            </w:r>
          </w:p>
        </w:tc>
        <w:tc>
          <w:tcPr>
            <w:tcW w:w="329" w:type="pct"/>
            <w:vAlign w:val="center"/>
          </w:tcPr>
          <w:p w14:paraId="0F4C3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办公协同系统</w:t>
            </w:r>
          </w:p>
        </w:tc>
        <w:tc>
          <w:tcPr>
            <w:tcW w:w="290" w:type="pct"/>
            <w:vAlign w:val="center"/>
          </w:tcPr>
          <w:p w14:paraId="3808A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X.x.x.x</w:t>
            </w:r>
          </w:p>
        </w:tc>
        <w:tc>
          <w:tcPr>
            <w:tcW w:w="296" w:type="pct"/>
            <w:vAlign w:val="center"/>
          </w:tcPr>
          <w:p w14:paraId="4839B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http://www.xx.cn/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6838B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服务器、办公终端等主机类</w:t>
            </w:r>
          </w:p>
          <w:p w14:paraId="0A7F6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开源大数据软件类</w:t>
            </w:r>
          </w:p>
          <w:p w14:paraId="4CE8D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中间件类</w:t>
            </w:r>
          </w:p>
          <w:p w14:paraId="0307E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办公系统类</w:t>
            </w:r>
          </w:p>
          <w:p w14:paraId="3F537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业务生产系统类</w:t>
            </w:r>
          </w:p>
          <w:p w14:paraId="1F5ED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网络设备、安全设备、物联网设备等硬件类</w:t>
            </w:r>
          </w:p>
          <w:p w14:paraId="1163E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其他</w:t>
            </w:r>
          </w:p>
        </w:tc>
        <w:tc>
          <w:tcPr>
            <w:tcW w:w="307" w:type="pct"/>
            <w:vAlign w:val="center"/>
          </w:tcPr>
          <w:p w14:paraId="76FF0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用于支撑集团内部员工开展办公工作、提交各类工单</w:t>
            </w:r>
          </w:p>
        </w:tc>
        <w:tc>
          <w:tcPr>
            <w:tcW w:w="285" w:type="pct"/>
            <w:vAlign w:val="center"/>
          </w:tcPr>
          <w:p w14:paraId="14E82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否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2584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采用单一认证方式</w:t>
            </w:r>
          </w:p>
          <w:p w14:paraId="70BB6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为限制口令复杂度和更新机制</w:t>
            </w:r>
          </w:p>
          <w:p w14:paraId="0A914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未校验“弱口令”</w:t>
            </w:r>
          </w:p>
          <w:p w14:paraId="4D622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未落实口令防“暴破”</w:t>
            </w:r>
          </w:p>
          <w:p w14:paraId="08263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未采取加密存储传输</w:t>
            </w:r>
          </w:p>
          <w:p w14:paraId="104FE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口令措施</w:t>
            </w:r>
          </w:p>
          <w:p w14:paraId="02E45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为限制跨境登陆</w:t>
            </w:r>
          </w:p>
        </w:tc>
        <w:tc>
          <w:tcPr>
            <w:tcW w:w="213" w:type="pct"/>
            <w:vAlign w:val="center"/>
          </w:tcPr>
          <w:p w14:paraId="7A922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已整改</w:t>
            </w:r>
          </w:p>
        </w:tc>
        <w:tc>
          <w:tcPr>
            <w:tcW w:w="219" w:type="pct"/>
            <w:vAlign w:val="center"/>
          </w:tcPr>
          <w:p w14:paraId="041D5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" w:type="pct"/>
            <w:vAlign w:val="center"/>
          </w:tcPr>
          <w:p w14:paraId="2F245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取多因子认证措施</w:t>
            </w:r>
          </w:p>
          <w:p w14:paraId="36FAC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限制口令复杂度并设置更新策略</w:t>
            </w:r>
          </w:p>
          <w:p w14:paraId="5B54A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增加系统“弱口令”校验措施</w:t>
            </w:r>
          </w:p>
          <w:p w14:paraId="22284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增加口令防“暴破”措施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增加口令加密存储传输措施</w:t>
            </w:r>
          </w:p>
          <w:p w14:paraId="3B03B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采取访问控制策略</w:t>
            </w:r>
          </w:p>
          <w:p w14:paraId="7EA35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隔离境内外登录账号数据</w:t>
            </w:r>
          </w:p>
          <w:p w14:paraId="79AD6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采取限制境外IP登录策略</w:t>
            </w:r>
          </w:p>
          <w:p w14:paraId="44E71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其他</w:t>
            </w:r>
          </w:p>
        </w:tc>
        <w:tc>
          <w:tcPr>
            <w:tcW w:w="237" w:type="pct"/>
            <w:vAlign w:val="center"/>
          </w:tcPr>
          <w:p w14:paraId="0C0BD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457E1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填表说明:</w:t>
      </w:r>
    </w:p>
    <w:p w14:paraId="40903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1、系统归属单位:规范填写问题系统归属单位的全称</w:t>
      </w:r>
    </w:p>
    <w:p w14:paraId="20CD1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2、系统类别:包括服务器、办公终端等主机类，开源大数据软件类，中间件类，办公系统类，业务生产系统类，网络设备、安全设备、物联网设备等硬件类，其他类别，勾选“其他需详细写明。</w:t>
      </w:r>
    </w:p>
    <w:p w14:paraId="116E3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3、系统功能简述:要求不超过200字。</w:t>
      </w:r>
    </w:p>
    <w:p w14:paraId="3AC8C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4、问题分类:多选，包括采用单一认证方式、未限制口令复杂度和更新机制、未校验“弱口令”、未落实口令防“暴破”、未采取加密存储传输口令措施、未限制跨境登录。</w:t>
      </w:r>
    </w:p>
    <w:p w14:paraId="5D7EC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5、整改技术措施:多选，包括推行多因子认证机制、限制口令复杂度并设置更新策略、增加“弱口令”校验措施、增加口令防“暴破”措施、增加口令加密存储传输措施、采取访问控制策略、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隔离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境内外登录账号数据、采取限制境外登录策略等。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勾选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“其他”需详细写明。</w:t>
      </w:r>
    </w:p>
    <w:p w14:paraId="4B46E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6、整改状态:整改状态分为已整改、短期无法整改、无法整改。</w:t>
      </w:r>
    </w:p>
    <w:p w14:paraId="3BC68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7、整改技术措施:已整改需填写。</w:t>
      </w:r>
    </w:p>
    <w:p w14:paraId="10CB3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8、整改计划:短期无法整改需填写</w:t>
      </w:r>
    </w:p>
    <w:p w14:paraId="3BBA3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9、无法整改原因:无法整改需填写</w:t>
      </w:r>
    </w:p>
    <w:sectPr>
      <w:pgSz w:w="16838" w:h="11906" w:orient="landscape"/>
      <w:pgMar w:top="1576" w:right="1553" w:bottom="1576" w:left="16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DF2BD5"/>
    <w:rsid w:val="079600FE"/>
    <w:rsid w:val="23DF2BD5"/>
    <w:rsid w:val="281B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3711</Words>
  <Characters>3811</Characters>
  <Lines>0</Lines>
  <Paragraphs>0</Paragraphs>
  <TotalTime>3</TotalTime>
  <ScaleCrop>false</ScaleCrop>
  <LinksUpToDate>false</LinksUpToDate>
  <CharactersWithSpaces>3873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2026-06-29T06:48:00Z</dcterms:created>
  <dc:creator>张启玥</dc:creator>
  <cp:lastModifiedBy>张启玥</cp:lastModifiedBy>
  <dcterms:modified xsi:type="dcterms:W3CDTF">2026-08-20T07:54:09Z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8438897786564187884333DA91188547_13</vt:lpwstr>
  </property>
  <property fmtid="{D5CDD505-2E9C-101B-9397-08002B2CF9AE}" pid="4" name="KSOTemplateDocerSaveRecord">
    <vt:lpwstr>eyJoZGlkIjoiZTc5ZTFiOWVlZmRkOTEyZWNhODY5NWUxZDkyM2M3ODIiLCJ1c2VySWQiOiI4OTQ0ODYyOTMifQ==</vt:lpwstr>
  </property>
</Properties>
</file>